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B2D" w:rsidRPr="008C6B7E" w:rsidRDefault="00085B2D" w:rsidP="008C6B7E">
      <w:pPr>
        <w:pStyle w:val="Title"/>
      </w:pPr>
      <w:r w:rsidRPr="008C6B7E">
        <w:t>7</w:t>
      </w:r>
      <w:r w:rsidRPr="008C6B7E">
        <w:rPr>
          <w:vertAlign w:val="superscript"/>
        </w:rPr>
        <w:t>th</w:t>
      </w:r>
      <w:r w:rsidRPr="008C6B7E">
        <w:t xml:space="preserve"> Grade Spanish</w:t>
      </w:r>
      <w:r w:rsidR="008C6B7E">
        <w:t xml:space="preserve"> 2011-2012</w:t>
      </w:r>
    </w:p>
    <w:p w:rsidR="00085B2D" w:rsidRDefault="00085B2D" w:rsidP="00085B2D">
      <w:r>
        <w:t>Teacher: Ms. Lauren Morrow</w:t>
      </w:r>
    </w:p>
    <w:p w:rsidR="00085B2D" w:rsidRDefault="00085B2D" w:rsidP="00085B2D">
      <w:r>
        <w:t xml:space="preserve">Contact Info: </w:t>
      </w:r>
      <w:r w:rsidRPr="008C6B7E">
        <w:t>lmorrow@randolphschool.net</w:t>
      </w:r>
    </w:p>
    <w:p w:rsidR="00085B2D" w:rsidRDefault="00085B2D" w:rsidP="00085B2D">
      <w:r>
        <w:t>Wiki Page:</w:t>
      </w:r>
      <w:r w:rsidR="008C6B7E">
        <w:t xml:space="preserve"> lmorrowspanish.wikispaces.com</w:t>
      </w:r>
    </w:p>
    <w:p w:rsidR="00085B2D" w:rsidRDefault="00085B2D" w:rsidP="00085B2D"/>
    <w:p w:rsidR="00085B2D" w:rsidRPr="008C6B7E" w:rsidRDefault="00085B2D" w:rsidP="008C6B7E">
      <w:pPr>
        <w:pStyle w:val="Subtitle"/>
        <w:rPr>
          <w:rStyle w:val="IntenseReference"/>
        </w:rPr>
      </w:pPr>
      <w:r w:rsidRPr="008C6B7E">
        <w:rPr>
          <w:rStyle w:val="IntenseReference"/>
        </w:rPr>
        <w:t>Textbook and Materials</w:t>
      </w:r>
    </w:p>
    <w:p w:rsidR="00085B2D" w:rsidRDefault="00085B2D" w:rsidP="00085B2D">
      <w:proofErr w:type="spellStart"/>
      <w:r w:rsidRPr="008C6B7E">
        <w:rPr>
          <w:i/>
        </w:rPr>
        <w:t>Navegando</w:t>
      </w:r>
      <w:proofErr w:type="spellEnd"/>
      <w:r w:rsidRPr="008C6B7E">
        <w:rPr>
          <w:i/>
        </w:rPr>
        <w:t xml:space="preserve"> I</w:t>
      </w:r>
      <w:r>
        <w:t xml:space="preserve"> textbook</w:t>
      </w:r>
    </w:p>
    <w:p w:rsidR="00085B2D" w:rsidRDefault="00085B2D" w:rsidP="00085B2D">
      <w:proofErr w:type="spellStart"/>
      <w:r w:rsidRPr="008C6B7E">
        <w:rPr>
          <w:i/>
        </w:rPr>
        <w:t>Navegando</w:t>
      </w:r>
      <w:proofErr w:type="spellEnd"/>
      <w:r w:rsidRPr="008C6B7E">
        <w:rPr>
          <w:i/>
        </w:rPr>
        <w:t xml:space="preserve"> I</w:t>
      </w:r>
      <w:r>
        <w:t xml:space="preserve"> workbook</w:t>
      </w:r>
    </w:p>
    <w:p w:rsidR="00085B2D" w:rsidRDefault="008C6B7E" w:rsidP="00085B2D">
      <w:proofErr w:type="spellStart"/>
      <w:r>
        <w:t>Vox</w:t>
      </w:r>
      <w:proofErr w:type="spellEnd"/>
      <w:r>
        <w:t xml:space="preserve"> Spanish/English D</w:t>
      </w:r>
      <w:r w:rsidR="00085B2D">
        <w:t>ictionary</w:t>
      </w:r>
    </w:p>
    <w:p w:rsidR="00085B2D" w:rsidRDefault="00085B2D" w:rsidP="00085B2D">
      <w:r>
        <w:t xml:space="preserve">Binder </w:t>
      </w:r>
    </w:p>
    <w:p w:rsidR="00085B2D" w:rsidRDefault="00085B2D" w:rsidP="00085B2D"/>
    <w:p w:rsidR="00085B2D" w:rsidRPr="008C6B7E" w:rsidRDefault="00085B2D"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Course Objectives</w:t>
      </w:r>
    </w:p>
    <w:p w:rsidR="00085B2D" w:rsidRDefault="00085B2D" w:rsidP="00085B2D">
      <w:r>
        <w:t>In 7</w:t>
      </w:r>
      <w:r w:rsidRPr="00085B2D">
        <w:rPr>
          <w:vertAlign w:val="superscript"/>
        </w:rPr>
        <w:t>th</w:t>
      </w:r>
      <w:r>
        <w:t xml:space="preserve"> grade Spanish, we will continue to build a foundation of reading, writing, listening, and conversing in the target language. We will do this through the use of listening exercises, writing exercises, dialogues and conversation pieces, cultural exercises, music, and internet activities. Students will be expected to converse in Spanish using vocabulary and other material learned in class</w:t>
      </w:r>
    </w:p>
    <w:p w:rsidR="0076330E" w:rsidRPr="008C6B7E" w:rsidRDefault="008C6B7E"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Grades</w:t>
      </w:r>
    </w:p>
    <w:p w:rsidR="008C6B7E" w:rsidRDefault="008C6B7E" w:rsidP="00085B2D">
      <w:r>
        <w:t>Grades will be weighted in the following way:</w:t>
      </w:r>
    </w:p>
    <w:tbl>
      <w:tblPr>
        <w:tblStyle w:val="LightList"/>
        <w:tblW w:w="0" w:type="auto"/>
        <w:tblLook w:val="04A0"/>
      </w:tblPr>
      <w:tblGrid>
        <w:gridCol w:w="2752"/>
        <w:gridCol w:w="672"/>
      </w:tblGrid>
      <w:tr w:rsidR="0076330E" w:rsidTr="0076330E">
        <w:trPr>
          <w:cnfStyle w:val="100000000000"/>
          <w:trHeight w:val="262"/>
        </w:trPr>
        <w:tc>
          <w:tcPr>
            <w:cnfStyle w:val="001000000000"/>
            <w:tcW w:w="2752" w:type="dxa"/>
          </w:tcPr>
          <w:p w:rsidR="0076330E" w:rsidRDefault="0076330E" w:rsidP="0076330E">
            <w:r>
              <w:t>Grading</w:t>
            </w:r>
          </w:p>
        </w:tc>
        <w:tc>
          <w:tcPr>
            <w:tcW w:w="672" w:type="dxa"/>
          </w:tcPr>
          <w:p w:rsidR="0076330E" w:rsidRDefault="0076330E" w:rsidP="00085B2D">
            <w:pPr>
              <w:cnfStyle w:val="100000000000"/>
            </w:pPr>
          </w:p>
        </w:tc>
      </w:tr>
      <w:tr w:rsidR="0076330E" w:rsidTr="0076330E">
        <w:trPr>
          <w:cnfStyle w:val="000000100000"/>
          <w:trHeight w:val="262"/>
        </w:trPr>
        <w:tc>
          <w:tcPr>
            <w:cnfStyle w:val="001000000000"/>
            <w:tcW w:w="2752" w:type="dxa"/>
          </w:tcPr>
          <w:p w:rsidR="0076330E" w:rsidRDefault="0076330E" w:rsidP="0076330E">
            <w:r>
              <w:t xml:space="preserve">Tests </w:t>
            </w:r>
          </w:p>
        </w:tc>
        <w:tc>
          <w:tcPr>
            <w:tcW w:w="672" w:type="dxa"/>
          </w:tcPr>
          <w:p w:rsidR="0076330E" w:rsidRDefault="0076330E" w:rsidP="00085B2D">
            <w:pPr>
              <w:cnfStyle w:val="000000100000"/>
            </w:pPr>
            <w:r>
              <w:t>30</w:t>
            </w:r>
          </w:p>
        </w:tc>
      </w:tr>
      <w:tr w:rsidR="0076330E" w:rsidTr="0076330E">
        <w:trPr>
          <w:trHeight w:val="262"/>
        </w:trPr>
        <w:tc>
          <w:tcPr>
            <w:cnfStyle w:val="001000000000"/>
            <w:tcW w:w="2752" w:type="dxa"/>
          </w:tcPr>
          <w:p w:rsidR="0076330E" w:rsidRDefault="0076330E" w:rsidP="00085B2D">
            <w:r>
              <w:t xml:space="preserve">Homework </w:t>
            </w:r>
          </w:p>
        </w:tc>
        <w:tc>
          <w:tcPr>
            <w:tcW w:w="672" w:type="dxa"/>
          </w:tcPr>
          <w:p w:rsidR="0076330E" w:rsidRDefault="0076330E" w:rsidP="00085B2D">
            <w:pPr>
              <w:cnfStyle w:val="000000000000"/>
            </w:pPr>
            <w:r>
              <w:t>30</w:t>
            </w:r>
          </w:p>
        </w:tc>
      </w:tr>
      <w:tr w:rsidR="0076330E" w:rsidTr="0076330E">
        <w:trPr>
          <w:cnfStyle w:val="000000100000"/>
          <w:trHeight w:val="262"/>
        </w:trPr>
        <w:tc>
          <w:tcPr>
            <w:cnfStyle w:val="001000000000"/>
            <w:tcW w:w="2752" w:type="dxa"/>
          </w:tcPr>
          <w:p w:rsidR="0076330E" w:rsidRDefault="0076330E" w:rsidP="00085B2D">
            <w:r>
              <w:t xml:space="preserve">Quizzes </w:t>
            </w:r>
          </w:p>
        </w:tc>
        <w:tc>
          <w:tcPr>
            <w:tcW w:w="672" w:type="dxa"/>
          </w:tcPr>
          <w:p w:rsidR="0076330E" w:rsidRDefault="0076330E" w:rsidP="00085B2D">
            <w:pPr>
              <w:cnfStyle w:val="000000100000"/>
            </w:pPr>
            <w:r>
              <w:t>20</w:t>
            </w:r>
          </w:p>
        </w:tc>
      </w:tr>
      <w:tr w:rsidR="0076330E" w:rsidTr="0076330E">
        <w:trPr>
          <w:trHeight w:val="274"/>
        </w:trPr>
        <w:tc>
          <w:tcPr>
            <w:cnfStyle w:val="001000000000"/>
            <w:tcW w:w="2752" w:type="dxa"/>
          </w:tcPr>
          <w:p w:rsidR="0076330E" w:rsidRDefault="0076330E" w:rsidP="00085B2D">
            <w:r>
              <w:t xml:space="preserve">Oral </w:t>
            </w:r>
          </w:p>
        </w:tc>
        <w:tc>
          <w:tcPr>
            <w:tcW w:w="672" w:type="dxa"/>
          </w:tcPr>
          <w:p w:rsidR="0076330E" w:rsidRDefault="0076330E" w:rsidP="00085B2D">
            <w:pPr>
              <w:cnfStyle w:val="000000000000"/>
            </w:pPr>
            <w:r>
              <w:t>10</w:t>
            </w:r>
          </w:p>
        </w:tc>
      </w:tr>
      <w:tr w:rsidR="0076330E" w:rsidTr="0076330E">
        <w:trPr>
          <w:cnfStyle w:val="000000100000"/>
          <w:trHeight w:val="274"/>
        </w:trPr>
        <w:tc>
          <w:tcPr>
            <w:cnfStyle w:val="001000000000"/>
            <w:tcW w:w="2752" w:type="dxa"/>
          </w:tcPr>
          <w:p w:rsidR="0076330E" w:rsidRDefault="0076330E" w:rsidP="00085B2D">
            <w:r>
              <w:t xml:space="preserve">Participation </w:t>
            </w:r>
          </w:p>
        </w:tc>
        <w:tc>
          <w:tcPr>
            <w:tcW w:w="672" w:type="dxa"/>
          </w:tcPr>
          <w:p w:rsidR="0076330E" w:rsidRDefault="0076330E" w:rsidP="00085B2D">
            <w:pPr>
              <w:cnfStyle w:val="000000100000"/>
            </w:pPr>
            <w:r>
              <w:t>10</w:t>
            </w:r>
          </w:p>
        </w:tc>
      </w:tr>
    </w:tbl>
    <w:p w:rsidR="004B3449" w:rsidRDefault="004B3449" w:rsidP="00085B2D"/>
    <w:p w:rsidR="00085B2D" w:rsidRPr="008C6B7E" w:rsidRDefault="00085B2D"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Homework</w:t>
      </w:r>
    </w:p>
    <w:p w:rsidR="00110905" w:rsidRDefault="004B3449" w:rsidP="00085B2D">
      <w:r>
        <w:t xml:space="preserve">Unless stated by the teacher, homework is expected to be completed by the beginning of class the day after it is assigned. </w:t>
      </w:r>
      <w:r w:rsidR="00110905">
        <w:t>Homework not turned in when it is due is subject to a 20 point deduction the first day, and a “zero” after that.</w:t>
      </w:r>
    </w:p>
    <w:p w:rsidR="00110905" w:rsidRDefault="00110905" w:rsidP="00085B2D">
      <w:r>
        <w:lastRenderedPageBreak/>
        <w:t xml:space="preserve">If a student misses a class, they are expected to have their assignments ready at the beginning of their class upon their return. They are also expected to be prepared for any tests/quizzes that they missed during their absence. </w:t>
      </w:r>
    </w:p>
    <w:p w:rsidR="00085B2D" w:rsidRDefault="00DF7018" w:rsidP="00085B2D">
      <w:r>
        <w:t xml:space="preserve">There will be times that the teacher will assign work to be completed in groups. All other homework is to be done individually. </w:t>
      </w:r>
    </w:p>
    <w:p w:rsidR="00D2026B" w:rsidRPr="008C6B7E" w:rsidRDefault="00A56AAC"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Students:</w:t>
      </w:r>
    </w:p>
    <w:p w:rsidR="00A56AAC" w:rsidRDefault="0076330E" w:rsidP="00085B2D">
      <w:r>
        <w:t>Be engaged in your schoolwork</w:t>
      </w:r>
      <w:r w:rsidR="00A56AAC">
        <w:t>! Push yourselves to be the best you can be in all of your classes. Get help whenever you need it! Don’t be afraid to ask questions if you are unsure about something – there are no stupid questions. We are here to help you! Take advantage of that!</w:t>
      </w:r>
    </w:p>
    <w:p w:rsidR="00A56AAC" w:rsidRDefault="00A56AAC" w:rsidP="00085B2D"/>
    <w:p w:rsidR="00A56AAC" w:rsidRPr="008C6B7E" w:rsidRDefault="00A56AAC"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Parents:</w:t>
      </w:r>
    </w:p>
    <w:p w:rsidR="00A56AAC" w:rsidRDefault="00A56AAC" w:rsidP="00085B2D">
      <w:r>
        <w:t xml:space="preserve">Encourage your children to do their best work and to be prepared for class. Be involved in your child’s education, but don’t be afraid to let them make their own mistakes. </w:t>
      </w:r>
    </w:p>
    <w:p w:rsidR="00D2026B" w:rsidRPr="008C6B7E" w:rsidRDefault="00D2026B" w:rsidP="00085B2D">
      <w:pPr>
        <w:rPr>
          <w:rStyle w:val="IntenseReference"/>
          <w:rFonts w:asciiTheme="majorHAnsi" w:eastAsiaTheme="majorEastAsia" w:hAnsiTheme="majorHAnsi" w:cstheme="majorBidi"/>
          <w:i/>
          <w:iCs/>
          <w:sz w:val="24"/>
          <w:szCs w:val="24"/>
        </w:rPr>
      </w:pPr>
      <w:r w:rsidRPr="008C6B7E">
        <w:rPr>
          <w:rStyle w:val="IntenseReference"/>
          <w:rFonts w:asciiTheme="majorHAnsi" w:eastAsiaTheme="majorEastAsia" w:hAnsiTheme="majorHAnsi" w:cstheme="majorBidi"/>
          <w:i/>
          <w:iCs/>
          <w:sz w:val="24"/>
          <w:szCs w:val="24"/>
        </w:rPr>
        <w:t>Technology</w:t>
      </w:r>
    </w:p>
    <w:p w:rsidR="00D2026B" w:rsidRDefault="00D2026B" w:rsidP="00085B2D">
      <w:r>
        <w:t xml:space="preserve">In Foreign Language classes, students are expected to respect the Randolph Honor Code by refraining from lying, cheating, plagiarizing, and stealing. Students may share information and discuss the details of readings, grammar lessons, or in-class activities; however, any work submitted must be their own work, whether simple homework or more complex writing assignments. All images or statements taken from electronic sources must be properly acknowledged (cited) in any project presented for a grade. Online translators are particularly concerning. Linguistic control can only be learned and demonstrated through the ability to use and understand the correct words, phrases and structures, and to effectively combine them in written or spoken form. Since online translators provide conjugations, declensions, and word order, they are actually doing the work for the student. When students submit work that has been provided or supplemented by an online translator, it is considered plagiarism since they are claiming that work </w:t>
      </w:r>
      <w:r w:rsidR="00A56AAC">
        <w:t>as their own, even though they did not actually create it themselves. To avoid the temptation to simply convert words and sentences from one language to another, we require that all dictionary use be with paper dictionaries, unless a teacher gives specific permission for electronic dictionary use.</w:t>
      </w:r>
    </w:p>
    <w:p w:rsidR="00085B2D" w:rsidRDefault="00085B2D" w:rsidP="00085B2D"/>
    <w:sectPr w:rsidR="00085B2D" w:rsidSect="005B76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085B2D"/>
    <w:rsid w:val="00085B2D"/>
    <w:rsid w:val="00110905"/>
    <w:rsid w:val="004B3449"/>
    <w:rsid w:val="005B766D"/>
    <w:rsid w:val="0076330E"/>
    <w:rsid w:val="008C6B7E"/>
    <w:rsid w:val="00A56AAC"/>
    <w:rsid w:val="00D2026B"/>
    <w:rsid w:val="00DF7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66D"/>
  </w:style>
  <w:style w:type="paragraph" w:styleId="Heading1">
    <w:name w:val="heading 1"/>
    <w:basedOn w:val="Normal"/>
    <w:next w:val="Normal"/>
    <w:link w:val="Heading1Char"/>
    <w:uiPriority w:val="9"/>
    <w:qFormat/>
    <w:rsid w:val="008C6B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5B2D"/>
    <w:rPr>
      <w:color w:val="0000FF" w:themeColor="hyperlink"/>
      <w:u w:val="single"/>
    </w:rPr>
  </w:style>
  <w:style w:type="table" w:styleId="TableGrid">
    <w:name w:val="Table Grid"/>
    <w:basedOn w:val="TableNormal"/>
    <w:uiPriority w:val="59"/>
    <w:rsid w:val="00763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6330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6330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76330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uiPriority w:val="9"/>
    <w:rsid w:val="008C6B7E"/>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C6B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6B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C6B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6B7E"/>
    <w:rPr>
      <w:rFonts w:asciiTheme="majorHAnsi" w:eastAsiaTheme="majorEastAsia" w:hAnsiTheme="majorHAnsi" w:cstheme="majorBidi"/>
      <w:i/>
      <w:iCs/>
      <w:color w:val="4F81BD" w:themeColor="accent1"/>
      <w:spacing w:val="15"/>
      <w:sz w:val="24"/>
      <w:szCs w:val="24"/>
    </w:rPr>
  </w:style>
  <w:style w:type="character" w:styleId="IntenseReference">
    <w:name w:val="Intense Reference"/>
    <w:basedOn w:val="DefaultParagraphFont"/>
    <w:uiPriority w:val="32"/>
    <w:qFormat/>
    <w:rsid w:val="008C6B7E"/>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Randolph School</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2011-08-05T19:40:00Z</dcterms:created>
  <dcterms:modified xsi:type="dcterms:W3CDTF">2011-08-17T20:22:00Z</dcterms:modified>
</cp:coreProperties>
</file>